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360"/>
      </w:tblGrid>
      <w:tr w:rsidR="00302D86" w:rsidTr="00302D86">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tcMar>
                                <w:top w:w="150" w:type="dxa"/>
                                <w:left w:w="150" w:type="dxa"/>
                                <w:bottom w:w="150" w:type="dxa"/>
                                <w:right w:w="150" w:type="dxa"/>
                              </w:tcMar>
                              <w:vAlign w:val="center"/>
                              <w:hideMark/>
                            </w:tcPr>
                            <w:p w:rsidR="00302D86" w:rsidRDefault="00302D86">
                              <w:pPr>
                                <w:spacing w:line="270" w:lineRule="atLeast"/>
                                <w:rPr>
                                  <w:rFonts w:ascii="Arial" w:hAnsi="Arial" w:cs="Arial"/>
                                  <w:color w:val="000000"/>
                                  <w:sz w:val="18"/>
                                  <w:szCs w:val="18"/>
                                </w:rPr>
                              </w:pPr>
                              <w:r>
                                <w:rPr>
                                  <w:rFonts w:ascii="Georgia" w:hAnsi="Georgia"/>
                                  <w:color w:val="00539B"/>
                                  <w:sz w:val="33"/>
                                  <w:szCs w:val="33"/>
                                </w:rPr>
                                <w:t>Chapman and Cutler LLP</w:t>
                              </w:r>
                            </w:p>
                          </w:tc>
                        </w:tr>
                        <w:tr w:rsidR="00302D86">
                          <w:tc>
                            <w:tcPr>
                              <w:tcW w:w="0" w:type="auto"/>
                              <w:tcMar>
                                <w:top w:w="0" w:type="dxa"/>
                                <w:left w:w="150" w:type="dxa"/>
                                <w:bottom w:w="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02D86">
                                <w:trPr>
                                  <w:jc w:val="center"/>
                                </w:trPr>
                                <w:tc>
                                  <w:tcPr>
                                    <w:tcW w:w="0" w:type="auto"/>
                                    <w:vAlign w:val="center"/>
                                    <w:hideMark/>
                                  </w:tcPr>
                                  <w:p w:rsidR="00302D86" w:rsidRDefault="00302D86">
                                    <w:pPr>
                                      <w:jc w:val="center"/>
                                    </w:pPr>
                                    <w:r>
                                      <w:rPr>
                                        <w:noProof/>
                                      </w:rPr>
                                      <w:drawing>
                                        <wp:inline distT="0" distB="0" distL="0" distR="0">
                                          <wp:extent cx="5524500" cy="638175"/>
                                          <wp:effectExtent l="0" t="0" r="0" b="9525"/>
                                          <wp:docPr id="4" name="Picture 4" descr="http://images.news.chapman.com/EloquaImages/clients/ChapmanAndCutlerLLP/%7B4a2cc965-b609-47e0-8713-fe701c103fe9%7D_Chapman_Client_Alert-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news.chapman.com/EloquaImages/clients/ChapmanAndCutlerLLP/%7B4a2cc965-b609-47e0-8713-fe701c103fe9%7D_Chapman_Client_Alert-Header.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0" cy="638175"/>
                                                  </a:xfrm>
                                                  <a:prstGeom prst="rect">
                                                    <a:avLst/>
                                                  </a:prstGeom>
                                                  <a:noFill/>
                                                  <a:ln>
                                                    <a:noFill/>
                                                  </a:ln>
                                                </pic:spPr>
                                              </pic:pic>
                                            </a:graphicData>
                                          </a:graphic>
                                        </wp:inline>
                                      </w:drawing>
                                    </w:r>
                                  </w:p>
                                </w:tc>
                              </w:tr>
                            </w:tbl>
                            <w:p w:rsidR="00302D86" w:rsidRDefault="00302D86">
                              <w:pPr>
                                <w:jc w:val="center"/>
                                <w:rPr>
                                  <w:rFonts w:eastAsia="Times New Roman"/>
                                  <w:sz w:val="20"/>
                                  <w:szCs w:val="20"/>
                                </w:rPr>
                              </w:pP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rsidP="00302D86"/>
    <w:tbl>
      <w:tblPr>
        <w:tblW w:w="5000" w:type="pct"/>
        <w:tblCellMar>
          <w:left w:w="0" w:type="dxa"/>
          <w:right w:w="0" w:type="dxa"/>
        </w:tblCellMar>
        <w:tblLook w:val="04A0" w:firstRow="1" w:lastRow="0" w:firstColumn="1" w:lastColumn="0" w:noHBand="0" w:noVBand="1"/>
      </w:tblPr>
      <w:tblGrid>
        <w:gridCol w:w="9360"/>
      </w:tblGrid>
      <w:tr w:rsidR="00302D86" w:rsidTr="00302D86">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vAlign w:val="center"/>
                  <w:hideMark/>
                </w:tcPr>
                <w:tbl>
                  <w:tblPr>
                    <w:tblW w:w="5000" w:type="pct"/>
                    <w:tblCellMar>
                      <w:left w:w="0" w:type="dxa"/>
                      <w:right w:w="0" w:type="dxa"/>
                    </w:tblCellMar>
                    <w:tblLook w:val="04A0" w:firstRow="1" w:lastRow="0" w:firstColumn="1" w:lastColumn="0" w:noHBand="0" w:noVBand="1"/>
                  </w:tblPr>
                  <w:tblGrid>
                    <w:gridCol w:w="4680"/>
                    <w:gridCol w:w="4680"/>
                  </w:tblGrid>
                  <w:tr w:rsidR="00302D86">
                    <w:tc>
                      <w:tcPr>
                        <w:tcW w:w="0" w:type="auto"/>
                        <w:hideMark/>
                      </w:tcPr>
                      <w:tbl>
                        <w:tblPr>
                          <w:tblW w:w="5000" w:type="pct"/>
                          <w:tblCellMar>
                            <w:left w:w="0" w:type="dxa"/>
                            <w:right w:w="0" w:type="dxa"/>
                          </w:tblCellMar>
                          <w:tblLook w:val="04A0" w:firstRow="1" w:lastRow="0" w:firstColumn="1" w:lastColumn="0" w:noHBand="0" w:noVBand="1"/>
                        </w:tblPr>
                        <w:tblGrid>
                          <w:gridCol w:w="4680"/>
                        </w:tblGrid>
                        <w:tr w:rsidR="00302D86">
                          <w:tc>
                            <w:tcPr>
                              <w:tcW w:w="0" w:type="auto"/>
                              <w:tcMar>
                                <w:top w:w="0" w:type="dxa"/>
                                <w:left w:w="150" w:type="dxa"/>
                                <w:bottom w:w="150" w:type="dxa"/>
                                <w:right w:w="150" w:type="dxa"/>
                              </w:tcMar>
                              <w:vAlign w:val="center"/>
                              <w:hideMark/>
                            </w:tcPr>
                            <w:p w:rsidR="00302D86" w:rsidRDefault="00302D86">
                              <w:pPr>
                                <w:spacing w:line="270" w:lineRule="atLeast"/>
                                <w:rPr>
                                  <w:rFonts w:ascii="Arial" w:hAnsi="Arial" w:cs="Arial"/>
                                  <w:color w:val="000000"/>
                                  <w:sz w:val="18"/>
                                  <w:szCs w:val="18"/>
                                </w:rPr>
                              </w:pPr>
                              <w:r>
                                <w:rPr>
                                  <w:rFonts w:ascii="Arial" w:hAnsi="Arial" w:cs="Arial"/>
                                  <w:color w:val="000000"/>
                                  <w:sz w:val="20"/>
                                  <w:szCs w:val="20"/>
                                </w:rPr>
                                <w:t>June 17, 2020</w:t>
                              </w:r>
                            </w:p>
                          </w:tc>
                        </w:tr>
                      </w:tbl>
                      <w:p w:rsidR="00302D86" w:rsidRDefault="00302D86">
                        <w:pPr>
                          <w:rPr>
                            <w:rFonts w:eastAsia="Times New Roman"/>
                            <w:sz w:val="20"/>
                            <w:szCs w:val="20"/>
                          </w:rPr>
                        </w:pPr>
                      </w:p>
                    </w:tc>
                    <w:tc>
                      <w:tcPr>
                        <w:tcW w:w="2500" w:type="pct"/>
                        <w:hideMark/>
                      </w:tcPr>
                      <w:tbl>
                        <w:tblPr>
                          <w:tblW w:w="5000" w:type="pct"/>
                          <w:tblCellMar>
                            <w:left w:w="0" w:type="dxa"/>
                            <w:right w:w="0" w:type="dxa"/>
                          </w:tblCellMar>
                          <w:tblLook w:val="04A0" w:firstRow="1" w:lastRow="0" w:firstColumn="1" w:lastColumn="0" w:noHBand="0" w:noVBand="1"/>
                        </w:tblPr>
                        <w:tblGrid>
                          <w:gridCol w:w="4680"/>
                        </w:tblGrid>
                        <w:tr w:rsidR="00302D86">
                          <w:tc>
                            <w:tcPr>
                              <w:tcW w:w="0" w:type="auto"/>
                              <w:tcMar>
                                <w:top w:w="0" w:type="dxa"/>
                                <w:left w:w="150" w:type="dxa"/>
                                <w:bottom w:w="150" w:type="dxa"/>
                                <w:right w:w="150" w:type="dxa"/>
                              </w:tcMar>
                              <w:vAlign w:val="center"/>
                              <w:hideMark/>
                            </w:tcPr>
                            <w:p w:rsidR="00302D86" w:rsidRDefault="00302D86">
                              <w:pPr>
                                <w:spacing w:line="270" w:lineRule="atLeast"/>
                                <w:jc w:val="right"/>
                                <w:rPr>
                                  <w:rFonts w:ascii="Arial" w:hAnsi="Arial" w:cs="Arial"/>
                                  <w:color w:val="000000"/>
                                  <w:sz w:val="18"/>
                                  <w:szCs w:val="18"/>
                                </w:rPr>
                              </w:pPr>
                              <w:r>
                                <w:rPr>
                                  <w:rFonts w:ascii="Arial" w:hAnsi="Arial" w:cs="Arial"/>
                                  <w:color w:val="000000"/>
                                  <w:sz w:val="20"/>
                                  <w:szCs w:val="20"/>
                                </w:rPr>
                                <w:t>Current Issues Relevant to Our Clients</w:t>
                              </w: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rsidP="00302D86"/>
    <w:tbl>
      <w:tblPr>
        <w:tblW w:w="5000" w:type="pct"/>
        <w:tblCellMar>
          <w:left w:w="0" w:type="dxa"/>
          <w:right w:w="0" w:type="dxa"/>
        </w:tblCellMar>
        <w:tblLook w:val="04A0" w:firstRow="1" w:lastRow="0" w:firstColumn="1" w:lastColumn="0" w:noHBand="0" w:noVBand="1"/>
      </w:tblPr>
      <w:tblGrid>
        <w:gridCol w:w="9360"/>
      </w:tblGrid>
      <w:tr w:rsidR="00302D86" w:rsidTr="00302D86">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tcMar>
                                <w:top w:w="150" w:type="dxa"/>
                                <w:left w:w="150" w:type="dxa"/>
                                <w:bottom w:w="150" w:type="dxa"/>
                                <w:right w:w="150" w:type="dxa"/>
                              </w:tcMar>
                              <w:vAlign w:val="center"/>
                              <w:hideMark/>
                            </w:tcPr>
                            <w:p w:rsidR="00302D86" w:rsidRDefault="00302D86">
                              <w:pPr>
                                <w:spacing w:line="293" w:lineRule="atLeast"/>
                                <w:rPr>
                                  <w:rFonts w:ascii="Arial" w:hAnsi="Arial" w:cs="Arial"/>
                                  <w:color w:val="000000"/>
                                  <w:sz w:val="18"/>
                                  <w:szCs w:val="18"/>
                                </w:rPr>
                              </w:pPr>
                              <w:r>
                                <w:rPr>
                                  <w:rFonts w:ascii="Arial" w:hAnsi="Arial" w:cs="Arial"/>
                                  <w:color w:val="00539B"/>
                                  <w:sz w:val="26"/>
                                  <w:szCs w:val="26"/>
                                </w:rPr>
                                <w:t>Governor Approves Amendments to the Open Meetings Act for Public Meetings held during a Disaster</w:t>
                              </w:r>
                            </w:p>
                          </w:tc>
                        </w:tr>
                        <w:tr w:rsidR="00302D86">
                          <w:tc>
                            <w:tcPr>
                              <w:tcW w:w="0" w:type="auto"/>
                              <w:tcMar>
                                <w:top w:w="150" w:type="dxa"/>
                                <w:left w:w="150" w:type="dxa"/>
                                <w:bottom w:w="150" w:type="dxa"/>
                                <w:right w:w="150" w:type="dxa"/>
                              </w:tcMar>
                              <w:vAlign w:val="center"/>
                            </w:tcPr>
                            <w:p w:rsidR="00302D86" w:rsidRDefault="00302D86">
                              <w:pPr>
                                <w:spacing w:line="270" w:lineRule="atLeast"/>
                                <w:rPr>
                                  <w:rFonts w:ascii="Arial" w:hAnsi="Arial" w:cs="Arial"/>
                                  <w:color w:val="000000"/>
                                  <w:sz w:val="18"/>
                                  <w:szCs w:val="18"/>
                                </w:rPr>
                              </w:pPr>
                              <w:r>
                                <w:rPr>
                                  <w:rFonts w:ascii="Arial" w:hAnsi="Arial" w:cs="Arial"/>
                                  <w:color w:val="000000"/>
                                  <w:sz w:val="18"/>
                                  <w:szCs w:val="18"/>
                                </w:rPr>
                                <w:t xml:space="preserve">The General Assembly passed Senate Bill 2135 on May 23, 2020, and the Governor signed the same on June 12, 2020. Senate Bill 2135, now Public Act 101-0640 (the </w:t>
                              </w:r>
                              <w:r>
                                <w:rPr>
                                  <w:rStyle w:val="Emphasis"/>
                                  <w:rFonts w:ascii="Arial" w:hAnsi="Arial" w:cs="Arial"/>
                                  <w:color w:val="000000"/>
                                  <w:sz w:val="18"/>
                                  <w:szCs w:val="18"/>
                                </w:rPr>
                                <w:t>“Act”</w:t>
                              </w:r>
                              <w:r>
                                <w:rPr>
                                  <w:rFonts w:ascii="Arial" w:hAnsi="Arial" w:cs="Arial"/>
                                  <w:color w:val="000000"/>
                                  <w:sz w:val="18"/>
                                  <w:szCs w:val="18"/>
                                </w:rPr>
                                <w:t xml:space="preserve">), amends Sections 2.01 and 7 of the Open Meetings Act (the </w:t>
                              </w:r>
                              <w:r>
                                <w:rPr>
                                  <w:rStyle w:val="Emphasis"/>
                                  <w:rFonts w:ascii="Arial" w:hAnsi="Arial" w:cs="Arial"/>
                                  <w:color w:val="000000"/>
                                  <w:sz w:val="18"/>
                                  <w:szCs w:val="18"/>
                                </w:rPr>
                                <w:t>“OMA”</w:t>
                              </w:r>
                              <w:r>
                                <w:rPr>
                                  <w:rFonts w:ascii="Arial" w:hAnsi="Arial" w:cs="Arial"/>
                                  <w:color w:val="000000"/>
                                  <w:sz w:val="18"/>
                                  <w:szCs w:val="18"/>
                                </w:rPr>
                                <w:t>). The Act provides greater flexibility for public bodies to conduct business remotely when in-person attendance is not feasible due to a disaster.</w:t>
                              </w:r>
                            </w:p>
                            <w:p w:rsidR="00302D86" w:rsidRDefault="00302D86">
                              <w:pPr>
                                <w:spacing w:line="270" w:lineRule="atLeast"/>
                                <w:rPr>
                                  <w:rFonts w:ascii="Arial" w:hAnsi="Arial" w:cs="Arial"/>
                                  <w:color w:val="000000"/>
                                  <w:sz w:val="18"/>
                                  <w:szCs w:val="18"/>
                                </w:rPr>
                              </w:pPr>
                            </w:p>
                            <w:p w:rsidR="00302D86" w:rsidRDefault="00302D86">
                              <w:pPr>
                                <w:spacing w:line="270" w:lineRule="atLeast"/>
                                <w:rPr>
                                  <w:rFonts w:ascii="Arial" w:hAnsi="Arial" w:cs="Arial"/>
                                  <w:color w:val="000000"/>
                                  <w:sz w:val="18"/>
                                  <w:szCs w:val="18"/>
                                </w:rPr>
                              </w:pPr>
                              <w:r>
                                <w:rPr>
                                  <w:rFonts w:ascii="Arial" w:hAnsi="Arial" w:cs="Arial"/>
                                  <w:color w:val="000000"/>
                                  <w:sz w:val="18"/>
                                  <w:szCs w:val="18"/>
                                </w:rPr>
                                <w:t>The Act was adopted in response to the COVID-19 pandemic and largely codifies provisions in the Governor’s executive orders concerning public meetings during the COVID-19 pandemic and actions taken by public bodies in response thereto.  </w:t>
                              </w:r>
                            </w:p>
                            <w:p w:rsidR="00302D86" w:rsidRDefault="00302D86">
                              <w:pPr>
                                <w:spacing w:line="270" w:lineRule="atLeast"/>
                                <w:rPr>
                                  <w:rFonts w:ascii="Arial" w:hAnsi="Arial" w:cs="Arial"/>
                                  <w:color w:val="000000"/>
                                  <w:sz w:val="18"/>
                                  <w:szCs w:val="18"/>
                                </w:rPr>
                              </w:pPr>
                            </w:p>
                            <w:p w:rsidR="00302D86" w:rsidRDefault="00302D86">
                              <w:pPr>
                                <w:spacing w:line="270" w:lineRule="atLeast"/>
                                <w:rPr>
                                  <w:rFonts w:ascii="Arial" w:hAnsi="Arial" w:cs="Arial"/>
                                  <w:color w:val="000000"/>
                                  <w:sz w:val="18"/>
                                  <w:szCs w:val="18"/>
                                </w:rPr>
                              </w:pPr>
                              <w:r>
                                <w:rPr>
                                  <w:rFonts w:ascii="Arial" w:hAnsi="Arial" w:cs="Arial"/>
                                  <w:color w:val="000000"/>
                                  <w:sz w:val="18"/>
                                  <w:szCs w:val="18"/>
                                </w:rPr>
                                <w:t>The Act allows both open and closed meetings to be conducted via audio or video conference without the physical presence of a quorum of members, if certain conditions are met. A summary of the key conditions are as follows:   </w:t>
                              </w:r>
                            </w:p>
                            <w:p w:rsidR="00302D86" w:rsidRDefault="00302D86" w:rsidP="00CF4311">
                              <w:pPr>
                                <w:numPr>
                                  <w:ilvl w:val="0"/>
                                  <w:numId w:val="1"/>
                                </w:numPr>
                                <w:spacing w:before="100" w:beforeAutospacing="1" w:after="150" w:line="270" w:lineRule="atLeast"/>
                                <w:ind w:right="360" w:hanging="240"/>
                                <w:rPr>
                                  <w:rFonts w:ascii="Arial" w:hAnsi="Arial" w:cs="Arial"/>
                                  <w:color w:val="000000"/>
                                  <w:sz w:val="18"/>
                                  <w:szCs w:val="18"/>
                                </w:rPr>
                              </w:pPr>
                              <w:r>
                                <w:rPr>
                                  <w:rFonts w:ascii="Arial" w:hAnsi="Arial" w:cs="Arial"/>
                                  <w:color w:val="000000"/>
                                  <w:sz w:val="18"/>
                                  <w:szCs w:val="18"/>
                                </w:rPr>
                                <w:t xml:space="preserve">The Governor or the Director of the Illinois Department of Public Health has issued a disaster declaration because of a disaster as defined in Section 4 of the Illinois Emergency Management Agency Act, and all or part of the jurisdiction of the public body is covered by the disaster area (the </w:t>
                              </w:r>
                              <w:r>
                                <w:rPr>
                                  <w:rStyle w:val="Emphasis"/>
                                  <w:rFonts w:ascii="Arial" w:hAnsi="Arial" w:cs="Arial"/>
                                  <w:color w:val="000000"/>
                                  <w:sz w:val="18"/>
                                  <w:szCs w:val="18"/>
                                </w:rPr>
                                <w:t>“Issued Disaster Declaration”</w:t>
                              </w:r>
                              <w:r>
                                <w:rPr>
                                  <w:rFonts w:ascii="Arial" w:hAnsi="Arial" w:cs="Arial"/>
                                  <w:color w:val="000000"/>
                                  <w:sz w:val="18"/>
                                  <w:szCs w:val="18"/>
                                </w:rPr>
                                <w:t xml:space="preserve">). (On May 29, 2020, the Governor again declared all counties in the State as disaster areas because of the spread of COVID-19 (the </w:t>
                              </w:r>
                              <w:r>
                                <w:rPr>
                                  <w:rStyle w:val="Emphasis"/>
                                  <w:rFonts w:ascii="Arial" w:hAnsi="Arial" w:cs="Arial"/>
                                  <w:color w:val="000000"/>
                                  <w:sz w:val="18"/>
                                  <w:szCs w:val="18"/>
                                </w:rPr>
                                <w:t>“May 29 Declaration”</w:t>
                              </w:r>
                              <w:r>
                                <w:rPr>
                                  <w:rFonts w:ascii="Arial" w:hAnsi="Arial" w:cs="Arial"/>
                                  <w:color w:val="000000"/>
                                  <w:sz w:val="18"/>
                                  <w:szCs w:val="18"/>
                                </w:rPr>
                                <w:t>). The May 29 Declaration remains in effect until June 28, 2020.)</w:t>
                              </w:r>
                            </w:p>
                            <w:p w:rsidR="00302D86" w:rsidRDefault="00302D86" w:rsidP="00CF4311">
                              <w:pPr>
                                <w:numPr>
                                  <w:ilvl w:val="0"/>
                                  <w:numId w:val="1"/>
                                </w:numPr>
                                <w:spacing w:before="100" w:beforeAutospacing="1" w:after="150" w:line="270" w:lineRule="atLeast"/>
                                <w:ind w:right="360" w:hanging="240"/>
                                <w:rPr>
                                  <w:rFonts w:ascii="Arial" w:hAnsi="Arial" w:cs="Arial"/>
                                  <w:color w:val="000000"/>
                                  <w:sz w:val="18"/>
                                  <w:szCs w:val="18"/>
                                </w:rPr>
                              </w:pPr>
                              <w:r>
                                <w:rPr>
                                  <w:rFonts w:ascii="Arial" w:hAnsi="Arial" w:cs="Arial"/>
                                  <w:color w:val="000000"/>
                                  <w:sz w:val="18"/>
                                  <w:szCs w:val="18"/>
                                </w:rPr>
                                <w:t>The head of the public body determines that an in-person meeting or a meeting conducted under the OMA is not practical or prudent because of a disaster. </w:t>
                              </w:r>
                            </w:p>
                            <w:p w:rsidR="00302D86" w:rsidRDefault="00302D86" w:rsidP="00CF4311">
                              <w:pPr>
                                <w:numPr>
                                  <w:ilvl w:val="0"/>
                                  <w:numId w:val="1"/>
                                </w:numPr>
                                <w:spacing w:before="100" w:beforeAutospacing="1" w:after="150" w:line="270" w:lineRule="atLeast"/>
                                <w:ind w:right="360" w:hanging="240"/>
                                <w:rPr>
                                  <w:rFonts w:ascii="Arial" w:hAnsi="Arial" w:cs="Arial"/>
                                  <w:color w:val="000000"/>
                                  <w:sz w:val="18"/>
                                  <w:szCs w:val="18"/>
                                </w:rPr>
                              </w:pPr>
                              <w:r>
                                <w:rPr>
                                  <w:rFonts w:ascii="Arial" w:hAnsi="Arial" w:cs="Arial"/>
                                  <w:color w:val="000000"/>
                                  <w:sz w:val="18"/>
                                  <w:szCs w:val="18"/>
                                </w:rPr>
                                <w:t>All members of the public body participating in the meeting are verified and can hear one another and all discussion and testimony. </w:t>
                              </w:r>
                            </w:p>
                            <w:p w:rsidR="00302D86" w:rsidRDefault="00302D86" w:rsidP="00CF4311">
                              <w:pPr>
                                <w:numPr>
                                  <w:ilvl w:val="0"/>
                                  <w:numId w:val="1"/>
                                </w:numPr>
                                <w:spacing w:before="100" w:beforeAutospacing="1" w:after="150" w:line="270" w:lineRule="atLeast"/>
                                <w:ind w:right="360" w:hanging="240"/>
                                <w:rPr>
                                  <w:rFonts w:ascii="Arial" w:hAnsi="Arial" w:cs="Arial"/>
                                  <w:color w:val="000000"/>
                                  <w:sz w:val="18"/>
                                  <w:szCs w:val="18"/>
                                </w:rPr>
                              </w:pPr>
                              <w:r>
                                <w:rPr>
                                  <w:rFonts w:ascii="Arial" w:hAnsi="Arial" w:cs="Arial"/>
                                  <w:color w:val="000000"/>
                                  <w:sz w:val="18"/>
                                  <w:szCs w:val="18"/>
                                </w:rPr>
                                <w:t>When there is an open meeting, members of the public present at the regular meeting location must be able to hear all discussion, testimony and votes of the members of the public body. If attendance at the regular meeting location is not feasible due to the disaster, including the Issued Disaster Declaration, the public body must make alternative arrangements and provide notice to the public.  The alternative arrangements must allow the public to contemporaneously hear all discussion, testimony and roll call votes (such as offering a telephone number or web based link). (In the May 29 Declaration, the Governor found that public health concerns render in-person attendance of more than ten people at the regular meeting location not feasible.)</w:t>
                              </w:r>
                            </w:p>
                            <w:p w:rsidR="00302D86" w:rsidRDefault="00302D86" w:rsidP="00CF4311">
                              <w:pPr>
                                <w:numPr>
                                  <w:ilvl w:val="0"/>
                                  <w:numId w:val="1"/>
                                </w:numPr>
                                <w:spacing w:before="100" w:beforeAutospacing="1" w:after="150" w:line="270" w:lineRule="atLeast"/>
                                <w:ind w:right="360" w:hanging="240"/>
                                <w:rPr>
                                  <w:rFonts w:ascii="Arial" w:hAnsi="Arial" w:cs="Arial"/>
                                  <w:color w:val="000000"/>
                                  <w:sz w:val="18"/>
                                  <w:szCs w:val="18"/>
                                </w:rPr>
                              </w:pPr>
                              <w:r>
                                <w:rPr>
                                  <w:rFonts w:ascii="Arial" w:hAnsi="Arial" w:cs="Arial"/>
                                  <w:color w:val="000000"/>
                                  <w:sz w:val="18"/>
                                  <w:szCs w:val="18"/>
                                </w:rPr>
                                <w:lastRenderedPageBreak/>
                                <w:t>At least one member of the public body, chief legal counsel, or chief administrative officer must be physically present at the regular meeting location, unless unfeasible due to the disaster, including the Issued Disaster Declaration. </w:t>
                              </w:r>
                            </w:p>
                            <w:p w:rsidR="00302D86" w:rsidRDefault="00302D86" w:rsidP="00CF4311">
                              <w:pPr>
                                <w:numPr>
                                  <w:ilvl w:val="0"/>
                                  <w:numId w:val="1"/>
                                </w:numPr>
                                <w:spacing w:before="100" w:beforeAutospacing="1" w:after="150" w:line="270" w:lineRule="atLeast"/>
                                <w:ind w:right="360" w:hanging="240"/>
                                <w:rPr>
                                  <w:rFonts w:ascii="Arial" w:hAnsi="Arial" w:cs="Arial"/>
                                  <w:color w:val="000000"/>
                                  <w:sz w:val="18"/>
                                  <w:szCs w:val="18"/>
                                </w:rPr>
                              </w:pPr>
                              <w:r>
                                <w:rPr>
                                  <w:rFonts w:ascii="Arial" w:hAnsi="Arial" w:cs="Arial"/>
                                  <w:color w:val="000000"/>
                                  <w:sz w:val="18"/>
                                  <w:szCs w:val="18"/>
                                </w:rPr>
                                <w:t>All votes must be conducted by roll call, so each member’s vote on each issue can be identified and recorded. </w:t>
                              </w:r>
                            </w:p>
                            <w:p w:rsidR="00302D86" w:rsidRDefault="00302D86" w:rsidP="00CF4311">
                              <w:pPr>
                                <w:numPr>
                                  <w:ilvl w:val="0"/>
                                  <w:numId w:val="1"/>
                                </w:numPr>
                                <w:spacing w:before="100" w:beforeAutospacing="1" w:after="150" w:line="270" w:lineRule="atLeast"/>
                                <w:ind w:right="360" w:hanging="240"/>
                                <w:rPr>
                                  <w:rFonts w:ascii="Arial" w:hAnsi="Arial" w:cs="Arial"/>
                                  <w:color w:val="000000"/>
                                  <w:sz w:val="18"/>
                                  <w:szCs w:val="18"/>
                                </w:rPr>
                              </w:pPr>
                              <w:r>
                                <w:rPr>
                                  <w:rFonts w:ascii="Arial" w:hAnsi="Arial" w:cs="Arial"/>
                                  <w:color w:val="000000"/>
                                  <w:sz w:val="18"/>
                                  <w:szCs w:val="18"/>
                                </w:rPr>
                                <w:t>Except in the event of a bona fide emergency, 48 hours’ notice must be given for such meeting and notice shall be given to all members of the public body, shall be posted on the website of the public body, and shall also be provided to any news media who has requested notice of meetings pursuant to subsection (a) of Section 2.02 of the OMA. </w:t>
                              </w:r>
                            </w:p>
                            <w:p w:rsidR="00302D86" w:rsidRDefault="00302D86" w:rsidP="00CF4311">
                              <w:pPr>
                                <w:numPr>
                                  <w:ilvl w:val="0"/>
                                  <w:numId w:val="1"/>
                                </w:numPr>
                                <w:spacing w:before="100" w:beforeAutospacing="1" w:after="150" w:line="270" w:lineRule="atLeast"/>
                                <w:ind w:right="360" w:hanging="240"/>
                                <w:rPr>
                                  <w:rFonts w:ascii="Arial" w:hAnsi="Arial" w:cs="Arial"/>
                                  <w:color w:val="000000"/>
                                  <w:sz w:val="18"/>
                                  <w:szCs w:val="18"/>
                                </w:rPr>
                              </w:pPr>
                              <w:r>
                                <w:rPr>
                                  <w:rFonts w:ascii="Arial" w:hAnsi="Arial" w:cs="Arial"/>
                                  <w:color w:val="000000"/>
                                  <w:sz w:val="18"/>
                                  <w:szCs w:val="18"/>
                                </w:rPr>
                                <w:t>The public body must keep a verbatim record of such meeting in the form of an audio or video recording, and such verbatim records must be available to the public. </w:t>
                              </w:r>
                            </w:p>
                            <w:p w:rsidR="00302D86" w:rsidRDefault="00302D86">
                              <w:pPr>
                                <w:spacing w:line="270" w:lineRule="atLeast"/>
                                <w:rPr>
                                  <w:rFonts w:ascii="Arial" w:hAnsi="Arial" w:cs="Arial"/>
                                  <w:color w:val="000000"/>
                                  <w:sz w:val="18"/>
                                  <w:szCs w:val="18"/>
                                </w:rPr>
                              </w:pPr>
                              <w:r>
                                <w:rPr>
                                  <w:rFonts w:ascii="Arial" w:hAnsi="Arial" w:cs="Arial"/>
                                  <w:color w:val="000000"/>
                                  <w:sz w:val="18"/>
                                  <w:szCs w:val="18"/>
                                </w:rPr>
                                <w:t>Each member of the public body participating in such meeting by audio or video conference is considered present for the purposes of determining a quorum and participating in all proceedings.</w:t>
                              </w:r>
                            </w:p>
                            <w:p w:rsidR="00302D86" w:rsidRDefault="00302D86">
                              <w:pPr>
                                <w:spacing w:line="270" w:lineRule="atLeast"/>
                                <w:rPr>
                                  <w:rFonts w:ascii="Arial" w:hAnsi="Arial" w:cs="Arial"/>
                                  <w:color w:val="000000"/>
                                  <w:sz w:val="18"/>
                                  <w:szCs w:val="18"/>
                                </w:rPr>
                              </w:pPr>
                            </w:p>
                            <w:p w:rsidR="00302D86" w:rsidRDefault="00302D86">
                              <w:pPr>
                                <w:spacing w:line="270" w:lineRule="atLeast"/>
                                <w:rPr>
                                  <w:rFonts w:ascii="Arial" w:hAnsi="Arial" w:cs="Arial"/>
                                  <w:color w:val="000000"/>
                                  <w:sz w:val="18"/>
                                  <w:szCs w:val="18"/>
                                </w:rPr>
                              </w:pPr>
                              <w:r>
                                <w:rPr>
                                  <w:rFonts w:ascii="Arial" w:hAnsi="Arial" w:cs="Arial"/>
                                  <w:color w:val="000000"/>
                                  <w:sz w:val="18"/>
                                  <w:szCs w:val="18"/>
                                </w:rPr>
                                <w:t>In conclusion, under certain conditions, such as those now existing under the May 29 Declaration, the Act allows public bodies to hold meetings via audio or video conference without a quorum of members physically present. Public bodies should note that, unless it is not feasible to do so, a physical site must be maintained with at least one member of the body, chief legal counsel, or chief administrative officer physically present to ensure that all discussion, testimony and votes of the members of the public body can be heard by the attending public. If physical attendance, however, is not feasible due to the disaster, including the Issued Disaster Declaration, the public body must provide contemporaneous access to all discussions, testimony and roll call votes.  </w:t>
                              </w:r>
                            </w:p>
                            <w:p w:rsidR="00302D86" w:rsidRDefault="00302D86">
                              <w:pPr>
                                <w:spacing w:line="270" w:lineRule="atLeast"/>
                                <w:rPr>
                                  <w:rFonts w:ascii="Arial" w:hAnsi="Arial" w:cs="Arial"/>
                                  <w:color w:val="000000"/>
                                  <w:sz w:val="18"/>
                                  <w:szCs w:val="18"/>
                                </w:rPr>
                              </w:pPr>
                            </w:p>
                            <w:p w:rsidR="00302D86" w:rsidRDefault="00302D86">
                              <w:pPr>
                                <w:spacing w:line="270" w:lineRule="atLeast"/>
                                <w:rPr>
                                  <w:rFonts w:ascii="Arial" w:hAnsi="Arial" w:cs="Arial"/>
                                  <w:color w:val="000000"/>
                                  <w:sz w:val="18"/>
                                  <w:szCs w:val="18"/>
                                </w:rPr>
                              </w:pPr>
                              <w:r>
                                <w:rPr>
                                  <w:rFonts w:ascii="Arial" w:hAnsi="Arial" w:cs="Arial"/>
                                  <w:color w:val="00539B"/>
                                  <w:sz w:val="21"/>
                                  <w:szCs w:val="21"/>
                                </w:rPr>
                                <w:t>For More Information</w:t>
                              </w:r>
                            </w:p>
                            <w:p w:rsidR="00302D86" w:rsidRDefault="00302D86">
                              <w:pPr>
                                <w:spacing w:line="270" w:lineRule="atLeast"/>
                                <w:rPr>
                                  <w:rFonts w:ascii="Arial" w:hAnsi="Arial" w:cs="Arial"/>
                                  <w:color w:val="000000"/>
                                  <w:sz w:val="18"/>
                                  <w:szCs w:val="18"/>
                                </w:rPr>
                              </w:pPr>
                            </w:p>
                            <w:p w:rsidR="00302D86" w:rsidRDefault="00302D86">
                              <w:pPr>
                                <w:spacing w:line="270" w:lineRule="atLeast"/>
                                <w:rPr>
                                  <w:rFonts w:ascii="Arial" w:hAnsi="Arial" w:cs="Arial"/>
                                  <w:color w:val="000000"/>
                                  <w:sz w:val="18"/>
                                  <w:szCs w:val="18"/>
                                </w:rPr>
                              </w:pPr>
                              <w:r>
                                <w:rPr>
                                  <w:rFonts w:ascii="Arial" w:hAnsi="Arial" w:cs="Arial"/>
                                  <w:color w:val="000000"/>
                                  <w:sz w:val="18"/>
                                  <w:szCs w:val="18"/>
                                </w:rPr>
                                <w:t xml:space="preserve">If you would like further information concerning the matters discussed in this article, please contact a member of our Illinois Public Finance Group or visit us online at </w:t>
                              </w:r>
                              <w:hyperlink r:id="rId6" w:tgtFrame="_blank" w:history="1">
                                <w:r>
                                  <w:rPr>
                                    <w:rStyle w:val="Hyperlink"/>
                                    <w:rFonts w:ascii="Arial" w:hAnsi="Arial" w:cs="Arial"/>
                                    <w:sz w:val="18"/>
                                    <w:szCs w:val="18"/>
                                  </w:rPr>
                                  <w:t>chapman.com</w:t>
                                </w:r>
                              </w:hyperlink>
                              <w:r>
                                <w:rPr>
                                  <w:rFonts w:ascii="Arial" w:hAnsi="Arial" w:cs="Arial"/>
                                  <w:color w:val="000000"/>
                                  <w:sz w:val="18"/>
                                  <w:szCs w:val="18"/>
                                </w:rPr>
                                <w:t>.</w:t>
                              </w: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rsidP="00302D86"/>
    <w:tbl>
      <w:tblPr>
        <w:tblW w:w="5000" w:type="pct"/>
        <w:tblCellMar>
          <w:left w:w="0" w:type="dxa"/>
          <w:right w:w="0" w:type="dxa"/>
        </w:tblCellMar>
        <w:tblLook w:val="04A0" w:firstRow="1" w:lastRow="0" w:firstColumn="1" w:lastColumn="0" w:noHBand="0" w:noVBand="1"/>
      </w:tblPr>
      <w:tblGrid>
        <w:gridCol w:w="9360"/>
      </w:tblGrid>
      <w:tr w:rsidR="00302D86" w:rsidTr="00302D86">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tcMar>
                                <w:top w:w="150" w:type="dxa"/>
                                <w:left w:w="150" w:type="dxa"/>
                                <w:bottom w:w="150" w:type="dxa"/>
                                <w:right w:w="150" w:type="dxa"/>
                              </w:tcMar>
                              <w:vAlign w:val="center"/>
                              <w:hideMark/>
                            </w:tcPr>
                            <w:tbl>
                              <w:tblPr>
                                <w:tblW w:w="5000" w:type="pct"/>
                                <w:jc w:val="center"/>
                                <w:tblCellMar>
                                  <w:left w:w="0" w:type="dxa"/>
                                  <w:right w:w="0" w:type="dxa"/>
                                </w:tblCellMar>
                                <w:tblLook w:val="04A0" w:firstRow="1" w:lastRow="0" w:firstColumn="1" w:lastColumn="0" w:noHBand="0" w:noVBand="1"/>
                              </w:tblPr>
                              <w:tblGrid>
                                <w:gridCol w:w="9060"/>
                              </w:tblGrid>
                              <w:tr w:rsidR="00302D86">
                                <w:trPr>
                                  <w:jc w:val="center"/>
                                </w:trPr>
                                <w:tc>
                                  <w:tcPr>
                                    <w:tcW w:w="0" w:type="auto"/>
                                    <w:tcBorders>
                                      <w:top w:val="single" w:sz="8" w:space="0" w:color="000000"/>
                                      <w:left w:val="nil"/>
                                      <w:bottom w:val="nil"/>
                                      <w:right w:val="nil"/>
                                    </w:tcBorders>
                                    <w:tcMar>
                                      <w:top w:w="15" w:type="dxa"/>
                                      <w:left w:w="15" w:type="dxa"/>
                                      <w:bottom w:w="15" w:type="dxa"/>
                                      <w:right w:w="15" w:type="dxa"/>
                                    </w:tcMar>
                                    <w:vAlign w:val="center"/>
                                    <w:hideMark/>
                                  </w:tcPr>
                                  <w:p w:rsidR="00302D86" w:rsidRDefault="00302D86">
                                    <w:r>
                                      <w:t> </w:t>
                                    </w:r>
                                  </w:p>
                                </w:tc>
                              </w:tr>
                            </w:tbl>
                            <w:p w:rsidR="00302D86" w:rsidRDefault="00302D86">
                              <w:pPr>
                                <w:jc w:val="center"/>
                                <w:rPr>
                                  <w:rFonts w:eastAsia="Times New Roman"/>
                                  <w:sz w:val="20"/>
                                  <w:szCs w:val="20"/>
                                </w:rPr>
                              </w:pPr>
                            </w:p>
                          </w:tc>
                        </w:tr>
                        <w:tr w:rsidR="00302D86">
                          <w:tc>
                            <w:tcPr>
                              <w:tcW w:w="0" w:type="auto"/>
                              <w:tcMar>
                                <w:top w:w="150" w:type="dxa"/>
                                <w:left w:w="150" w:type="dxa"/>
                                <w:bottom w:w="150" w:type="dxa"/>
                                <w:right w:w="150" w:type="dxa"/>
                              </w:tcMar>
                              <w:vAlign w:val="center"/>
                            </w:tcPr>
                            <w:p w:rsidR="00302D86" w:rsidRDefault="00302D86">
                              <w:pPr>
                                <w:spacing w:line="173" w:lineRule="atLeast"/>
                                <w:rPr>
                                  <w:rFonts w:ascii="Arial" w:hAnsi="Arial" w:cs="Arial"/>
                                  <w:color w:val="000000"/>
                                  <w:sz w:val="18"/>
                                  <w:szCs w:val="18"/>
                                </w:rPr>
                              </w:pPr>
                              <w:r>
                                <w:rPr>
                                  <w:rFonts w:ascii="Arial" w:hAnsi="Arial" w:cs="Arial"/>
                                  <w:color w:val="000000"/>
                                  <w:sz w:val="15"/>
                                  <w:szCs w:val="15"/>
                                </w:rPr>
                                <w:t>This document has been prepared by Chapman and Cutler LLP attorneys for informational purposes only. It is general in nature and based on authorities that are subject to change. It is not intended as legal advice. Accordingly, readers should consult with, and seek the advice of, their own counsel with respect to any individual situation that involves the material contained in this document, the application of such material to their specific circumstances, or any questions relating to their own affairs that may be raised by such material.</w:t>
                              </w:r>
                            </w:p>
                            <w:p w:rsidR="00302D86" w:rsidRDefault="00302D86">
                              <w:pPr>
                                <w:spacing w:line="173" w:lineRule="atLeast"/>
                                <w:rPr>
                                  <w:rFonts w:ascii="Arial" w:hAnsi="Arial" w:cs="Arial"/>
                                  <w:color w:val="000000"/>
                                  <w:sz w:val="18"/>
                                  <w:szCs w:val="18"/>
                                </w:rPr>
                              </w:pPr>
                              <w:r>
                                <w:rPr>
                                  <w:rFonts w:ascii="Arial" w:hAnsi="Arial" w:cs="Arial"/>
                                  <w:color w:val="000000"/>
                                  <w:sz w:val="15"/>
                                  <w:szCs w:val="15"/>
                                </w:rPr>
                                <w:t> </w:t>
                              </w:r>
                            </w:p>
                            <w:p w:rsidR="00302D86" w:rsidRDefault="00302D86">
                              <w:pPr>
                                <w:spacing w:line="173" w:lineRule="atLeast"/>
                                <w:rPr>
                                  <w:rFonts w:ascii="Arial" w:hAnsi="Arial" w:cs="Arial"/>
                                  <w:color w:val="000000"/>
                                  <w:sz w:val="18"/>
                                  <w:szCs w:val="18"/>
                                </w:rPr>
                              </w:pPr>
                              <w:r>
                                <w:rPr>
                                  <w:rFonts w:ascii="Arial" w:hAnsi="Arial" w:cs="Arial"/>
                                  <w:color w:val="000000"/>
                                  <w:sz w:val="15"/>
                                  <w:szCs w:val="15"/>
                                </w:rPr>
                                <w:t>To the extent that any part of this summary is interpreted to provide tax advice, (i) no taxpayer may rely upon this summary for the purposes of avoiding penalties, (ii) this summary may be interpreted for tax purposes as being prepared in connection with the promotion of the transactions described, and (iii) taxpayers should consult independent tax advisors.</w:t>
                              </w:r>
                            </w:p>
                            <w:p w:rsidR="00302D86" w:rsidRDefault="00302D86">
                              <w:pPr>
                                <w:spacing w:line="270" w:lineRule="atLeast"/>
                                <w:rPr>
                                  <w:rFonts w:ascii="Arial" w:hAnsi="Arial" w:cs="Arial"/>
                                  <w:color w:val="000000"/>
                                  <w:sz w:val="18"/>
                                  <w:szCs w:val="18"/>
                                </w:rPr>
                              </w:pPr>
                            </w:p>
                            <w:p w:rsidR="00302D86" w:rsidRDefault="00302D86">
                              <w:pPr>
                                <w:spacing w:line="173" w:lineRule="atLeast"/>
                                <w:rPr>
                                  <w:rFonts w:ascii="Arial" w:hAnsi="Arial" w:cs="Arial"/>
                                  <w:color w:val="000000"/>
                                  <w:sz w:val="18"/>
                                  <w:szCs w:val="18"/>
                                </w:rPr>
                              </w:pPr>
                              <w:r>
                                <w:rPr>
                                  <w:rFonts w:ascii="Arial" w:hAnsi="Arial" w:cs="Arial"/>
                                  <w:color w:val="000000"/>
                                  <w:sz w:val="15"/>
                                  <w:szCs w:val="15"/>
                                </w:rPr>
                                <w:t xml:space="preserve">Please refer to our </w:t>
                              </w:r>
                              <w:hyperlink r:id="rId7" w:tgtFrame="_blank" w:history="1">
                                <w:r>
                                  <w:rPr>
                                    <w:rStyle w:val="Hyperlink"/>
                                    <w:rFonts w:ascii="Arial" w:hAnsi="Arial" w:cs="Arial"/>
                                    <w:color w:val="00539B"/>
                                    <w:sz w:val="15"/>
                                    <w:szCs w:val="15"/>
                                  </w:rPr>
                                  <w:t>Privacy Policy</w:t>
                                </w:r>
                              </w:hyperlink>
                              <w:r>
                                <w:rPr>
                                  <w:rFonts w:ascii="Arial" w:hAnsi="Arial" w:cs="Arial"/>
                                  <w:color w:val="000000"/>
                                  <w:sz w:val="15"/>
                                  <w:szCs w:val="15"/>
                                </w:rPr>
                                <w:t xml:space="preserve"> for further details with respect to our collection and use of personal information.</w:t>
                              </w:r>
                            </w:p>
                            <w:p w:rsidR="00302D86" w:rsidRDefault="00302D86">
                              <w:pPr>
                                <w:spacing w:line="173" w:lineRule="atLeast"/>
                                <w:rPr>
                                  <w:rFonts w:ascii="Arial" w:hAnsi="Arial" w:cs="Arial"/>
                                  <w:color w:val="000000"/>
                                  <w:sz w:val="18"/>
                                  <w:szCs w:val="18"/>
                                </w:rPr>
                              </w:pPr>
                              <w:r>
                                <w:rPr>
                                  <w:rFonts w:ascii="Arial" w:hAnsi="Arial" w:cs="Arial"/>
                                  <w:color w:val="000000"/>
                                  <w:sz w:val="15"/>
                                  <w:szCs w:val="15"/>
                                </w:rPr>
                                <w:t> </w:t>
                              </w:r>
                            </w:p>
                            <w:p w:rsidR="00302D86" w:rsidRDefault="00302D86">
                              <w:pPr>
                                <w:spacing w:line="173" w:lineRule="atLeast"/>
                                <w:rPr>
                                  <w:rFonts w:ascii="Arial" w:hAnsi="Arial" w:cs="Arial"/>
                                  <w:color w:val="000000"/>
                                  <w:sz w:val="18"/>
                                  <w:szCs w:val="18"/>
                                </w:rPr>
                              </w:pPr>
                              <w:r>
                                <w:rPr>
                                  <w:rFonts w:ascii="Arial" w:hAnsi="Arial" w:cs="Arial"/>
                                  <w:color w:val="000000"/>
                                  <w:sz w:val="15"/>
                                  <w:szCs w:val="15"/>
                                </w:rPr>
                                <w:t>© 2020 Chapman and Cutler LLP. All rights reserved. Attorney Advertising Material.</w:t>
                              </w:r>
                            </w:p>
                            <w:p w:rsidR="00302D86" w:rsidRDefault="00302D86">
                              <w:pPr>
                                <w:spacing w:line="270" w:lineRule="atLeast"/>
                                <w:rPr>
                                  <w:rFonts w:ascii="Arial" w:hAnsi="Arial" w:cs="Arial"/>
                                  <w:color w:val="000000"/>
                                  <w:sz w:val="18"/>
                                  <w:szCs w:val="18"/>
                                </w:rPr>
                              </w:pPr>
                            </w:p>
                            <w:p w:rsidR="00302D86" w:rsidRDefault="00302D86">
                              <w:pPr>
                                <w:spacing w:line="380" w:lineRule="atLeast"/>
                                <w:rPr>
                                  <w:rFonts w:ascii="Arial" w:hAnsi="Arial" w:cs="Arial"/>
                                  <w:color w:val="000000"/>
                                  <w:sz w:val="18"/>
                                  <w:szCs w:val="18"/>
                                </w:rPr>
                              </w:pPr>
                              <w:r>
                                <w:rPr>
                                  <w:rFonts w:ascii="Arial" w:hAnsi="Arial" w:cs="Arial"/>
                                  <w:color w:val="00539B"/>
                                  <w:sz w:val="33"/>
                                  <w:szCs w:val="33"/>
                                </w:rPr>
                                <w:t>Connect with Chapman</w:t>
                              </w: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rsidP="00302D86"/>
    <w:tbl>
      <w:tblPr>
        <w:tblW w:w="5000" w:type="pct"/>
        <w:tblCellMar>
          <w:left w:w="0" w:type="dxa"/>
          <w:right w:w="0" w:type="dxa"/>
        </w:tblCellMar>
        <w:tblLook w:val="04A0" w:firstRow="1" w:lastRow="0" w:firstColumn="1" w:lastColumn="0" w:noHBand="0" w:noVBand="1"/>
      </w:tblPr>
      <w:tblGrid>
        <w:gridCol w:w="9360"/>
      </w:tblGrid>
      <w:tr w:rsidR="00302D86" w:rsidTr="00302D86">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vAlign w:val="center"/>
                  <w:hideMark/>
                </w:tcPr>
                <w:tbl>
                  <w:tblPr>
                    <w:tblW w:w="5000" w:type="pct"/>
                    <w:tblCellMar>
                      <w:left w:w="0" w:type="dxa"/>
                      <w:right w:w="0" w:type="dxa"/>
                    </w:tblCellMar>
                    <w:tblLook w:val="04A0" w:firstRow="1" w:lastRow="0" w:firstColumn="1" w:lastColumn="0" w:noHBand="0" w:noVBand="1"/>
                  </w:tblPr>
                  <w:tblGrid>
                    <w:gridCol w:w="935"/>
                    <w:gridCol w:w="750"/>
                    <w:gridCol w:w="6177"/>
                    <w:gridCol w:w="1498"/>
                  </w:tblGrid>
                  <w:tr w:rsidR="00302D86">
                    <w:tc>
                      <w:tcPr>
                        <w:tcW w:w="0" w:type="auto"/>
                        <w:hideMark/>
                      </w:tcPr>
                      <w:tbl>
                        <w:tblPr>
                          <w:tblW w:w="5000" w:type="pct"/>
                          <w:tblCellMar>
                            <w:left w:w="0" w:type="dxa"/>
                            <w:right w:w="0" w:type="dxa"/>
                          </w:tblCellMar>
                          <w:tblLook w:val="04A0" w:firstRow="1" w:lastRow="0" w:firstColumn="1" w:lastColumn="0" w:noHBand="0" w:noVBand="1"/>
                        </w:tblPr>
                        <w:tblGrid>
                          <w:gridCol w:w="935"/>
                        </w:tblGrid>
                        <w:tr w:rsidR="00302D86">
                          <w:trPr>
                            <w:trHeight w:val="75"/>
                          </w:trPr>
                          <w:tc>
                            <w:tcPr>
                              <w:tcW w:w="0" w:type="auto"/>
                              <w:vAlign w:val="center"/>
                              <w:hideMark/>
                            </w:tcPr>
                            <w:p w:rsidR="00302D86" w:rsidRDefault="00302D86">
                              <w:pPr>
                                <w:spacing w:line="270" w:lineRule="atLeast"/>
                                <w:rPr>
                                  <w:rFonts w:ascii="Arial" w:hAnsi="Arial" w:cs="Arial"/>
                                  <w:color w:val="000000"/>
                                  <w:sz w:val="18"/>
                                  <w:szCs w:val="18"/>
                                </w:rPr>
                              </w:pPr>
                              <w:r>
                                <w:rPr>
                                  <w:rFonts w:ascii="Arial" w:hAnsi="Arial" w:cs="Arial"/>
                                  <w:color w:val="000000"/>
                                  <w:sz w:val="18"/>
                                  <w:szCs w:val="18"/>
                                </w:rPr>
                                <w:lastRenderedPageBreak/>
                                <w:t> </w:t>
                              </w:r>
                            </w:p>
                          </w:tc>
                        </w:tr>
                      </w:tbl>
                      <w:p w:rsidR="00302D86" w:rsidRDefault="00302D86">
                        <w:pPr>
                          <w:rPr>
                            <w:rFonts w:eastAsia="Times New Roman"/>
                            <w:sz w:val="20"/>
                            <w:szCs w:val="20"/>
                          </w:rPr>
                        </w:pPr>
                      </w:p>
                    </w:tc>
                    <w:tc>
                      <w:tcPr>
                        <w:tcW w:w="400" w:type="pct"/>
                        <w:hideMark/>
                      </w:tcPr>
                      <w:tbl>
                        <w:tblPr>
                          <w:tblW w:w="5000" w:type="pct"/>
                          <w:tblCellMar>
                            <w:left w:w="0" w:type="dxa"/>
                            <w:right w:w="0" w:type="dxa"/>
                          </w:tblCellMar>
                          <w:tblLook w:val="04A0" w:firstRow="1" w:lastRow="0" w:firstColumn="1" w:lastColumn="0" w:noHBand="0" w:noVBand="1"/>
                        </w:tblPr>
                        <w:tblGrid>
                          <w:gridCol w:w="750"/>
                        </w:tblGrid>
                        <w:tr w:rsidR="00302D86">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750"/>
                              </w:tblGrid>
                              <w:tr w:rsidR="00302D86">
                                <w:trPr>
                                  <w:jc w:val="center"/>
                                </w:trPr>
                                <w:tc>
                                  <w:tcPr>
                                    <w:tcW w:w="0" w:type="auto"/>
                                    <w:vAlign w:val="center"/>
                                    <w:hideMark/>
                                  </w:tcPr>
                                  <w:p w:rsidR="00302D86" w:rsidRDefault="00302D86">
                                    <w:pPr>
                                      <w:jc w:val="center"/>
                                    </w:pPr>
                                    <w:r>
                                      <w:rPr>
                                        <w:noProof/>
                                        <w:color w:val="145C9E"/>
                                        <w:bdr w:val="none" w:sz="0" w:space="0" w:color="auto" w:frame="1"/>
                                      </w:rPr>
                                      <w:drawing>
                                        <wp:inline distT="0" distB="0" distL="0" distR="0">
                                          <wp:extent cx="476250" cy="476250"/>
                                          <wp:effectExtent l="0" t="0" r="0" b="0"/>
                                          <wp:docPr id="3" name="Picture 3" descr="http://images.news.chapman.com/EloquaImages/clients/ChapmanAndCutlerLLP/%7B99d4ed22-a951-4c39-95ee-b195d0aa7bb6%7D_Chapman_LinkedIn_Email_Button-50.pn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news.chapman.com/EloquaImages/clients/ChapmanAndCutlerLLP/%7B99d4ed22-a951-4c39-95ee-b195d0aa7bb6%7D_Chapman_LinkedIn_Email_Button-5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bl>
                            <w:p w:rsidR="00302D86" w:rsidRDefault="00302D86">
                              <w:pPr>
                                <w:jc w:val="center"/>
                                <w:rPr>
                                  <w:rFonts w:eastAsia="Times New Roman"/>
                                  <w:sz w:val="20"/>
                                  <w:szCs w:val="20"/>
                                </w:rPr>
                              </w:pPr>
                            </w:p>
                          </w:tc>
                        </w:tr>
                      </w:tbl>
                      <w:p w:rsidR="00302D86" w:rsidRDefault="00302D86">
                        <w:pPr>
                          <w:rPr>
                            <w:rFonts w:eastAsia="Times New Roman"/>
                            <w:sz w:val="20"/>
                            <w:szCs w:val="20"/>
                          </w:rPr>
                        </w:pPr>
                      </w:p>
                    </w:tc>
                    <w:tc>
                      <w:tcPr>
                        <w:tcW w:w="3300" w:type="pct"/>
                        <w:hideMark/>
                      </w:tcPr>
                      <w:tbl>
                        <w:tblPr>
                          <w:tblW w:w="5000" w:type="pct"/>
                          <w:tblCellMar>
                            <w:left w:w="0" w:type="dxa"/>
                            <w:right w:w="0" w:type="dxa"/>
                          </w:tblCellMar>
                          <w:tblLook w:val="04A0" w:firstRow="1" w:lastRow="0" w:firstColumn="1" w:lastColumn="0" w:noHBand="0" w:noVBand="1"/>
                        </w:tblPr>
                        <w:tblGrid>
                          <w:gridCol w:w="6177"/>
                        </w:tblGrid>
                        <w:tr w:rsidR="00302D86">
                          <w:tc>
                            <w:tcPr>
                              <w:tcW w:w="0" w:type="auto"/>
                              <w:tcMar>
                                <w:top w:w="0" w:type="dxa"/>
                                <w:left w:w="375" w:type="dxa"/>
                                <w:bottom w:w="0" w:type="dxa"/>
                                <w:right w:w="0" w:type="dxa"/>
                              </w:tcMar>
                              <w:vAlign w:val="center"/>
                              <w:hideMark/>
                            </w:tcPr>
                            <w:tbl>
                              <w:tblPr>
                                <w:tblW w:w="5000" w:type="pct"/>
                                <w:tblCellMar>
                                  <w:left w:w="0" w:type="dxa"/>
                                  <w:right w:w="0" w:type="dxa"/>
                                </w:tblCellMar>
                                <w:tblLook w:val="04A0" w:firstRow="1" w:lastRow="0" w:firstColumn="1" w:lastColumn="0" w:noHBand="0" w:noVBand="1"/>
                              </w:tblPr>
                              <w:tblGrid>
                                <w:gridCol w:w="5802"/>
                              </w:tblGrid>
                              <w:tr w:rsidR="00302D86">
                                <w:tc>
                                  <w:tcPr>
                                    <w:tcW w:w="0" w:type="auto"/>
                                    <w:vAlign w:val="center"/>
                                    <w:hideMark/>
                                  </w:tcPr>
                                  <w:p w:rsidR="00302D86" w:rsidRDefault="00302D86">
                                    <w:r>
                                      <w:rPr>
                                        <w:noProof/>
                                        <w:color w:val="145C9E"/>
                                        <w:bdr w:val="none" w:sz="0" w:space="0" w:color="auto" w:frame="1"/>
                                      </w:rPr>
                                      <w:drawing>
                                        <wp:inline distT="0" distB="0" distL="0" distR="0">
                                          <wp:extent cx="476250" cy="476250"/>
                                          <wp:effectExtent l="0" t="0" r="0" b="0"/>
                                          <wp:docPr id="2" name="Picture 2" descr="http://images.news.chapman.com/EloquaImages/clients/ChapmanAndCutlerLLP/%7B2f843de2-1760-46b3-a625-d68993346686%7D_Chapman_Twitter_Email_Button-50.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mages.news.chapman.com/EloquaImages/clients/ChapmanAndCutlerLLP/%7B2f843de2-1760-46b3-a625-d68993346686%7D_Chapman_Twitter_Email_Button-5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bl>
                            <w:p w:rsidR="00302D86" w:rsidRDefault="00302D86">
                              <w:pPr>
                                <w:rPr>
                                  <w:rFonts w:eastAsia="Times New Roman"/>
                                  <w:sz w:val="20"/>
                                  <w:szCs w:val="20"/>
                                </w:rPr>
                              </w:pPr>
                            </w:p>
                          </w:tc>
                        </w:tr>
                      </w:tbl>
                      <w:p w:rsidR="00302D86" w:rsidRDefault="00302D86">
                        <w:pPr>
                          <w:rPr>
                            <w:rFonts w:eastAsia="Times New Roman"/>
                            <w:sz w:val="20"/>
                            <w:szCs w:val="20"/>
                          </w:rPr>
                        </w:pPr>
                      </w:p>
                    </w:tc>
                    <w:tc>
                      <w:tcPr>
                        <w:tcW w:w="800" w:type="pct"/>
                        <w:hideMark/>
                      </w:tcPr>
                      <w:tbl>
                        <w:tblPr>
                          <w:tblW w:w="5000" w:type="pct"/>
                          <w:tblCellMar>
                            <w:left w:w="0" w:type="dxa"/>
                            <w:right w:w="0" w:type="dxa"/>
                          </w:tblCellMar>
                          <w:tblLook w:val="04A0" w:firstRow="1" w:lastRow="0" w:firstColumn="1" w:lastColumn="0" w:noHBand="0" w:noVBand="1"/>
                        </w:tblPr>
                        <w:tblGrid>
                          <w:gridCol w:w="1498"/>
                        </w:tblGrid>
                        <w:tr w:rsidR="00302D86">
                          <w:trPr>
                            <w:trHeight w:val="75"/>
                          </w:trPr>
                          <w:tc>
                            <w:tcPr>
                              <w:tcW w:w="0" w:type="auto"/>
                              <w:vAlign w:val="center"/>
                              <w:hideMark/>
                            </w:tcPr>
                            <w:p w:rsidR="00302D86" w:rsidRDefault="00302D86">
                              <w:pPr>
                                <w:spacing w:line="270" w:lineRule="atLeast"/>
                                <w:rPr>
                                  <w:rFonts w:ascii="Arial" w:hAnsi="Arial" w:cs="Arial"/>
                                  <w:color w:val="000000"/>
                                  <w:sz w:val="18"/>
                                  <w:szCs w:val="18"/>
                                </w:rPr>
                              </w:pPr>
                              <w:r>
                                <w:rPr>
                                  <w:rFonts w:ascii="Arial" w:hAnsi="Arial" w:cs="Arial"/>
                                  <w:color w:val="000000"/>
                                  <w:sz w:val="18"/>
                                  <w:szCs w:val="18"/>
                                </w:rPr>
                                <w:t> </w:t>
                              </w: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rsidP="00302D86"/>
    <w:tbl>
      <w:tblPr>
        <w:tblW w:w="5000" w:type="pct"/>
        <w:tblCellMar>
          <w:left w:w="0" w:type="dxa"/>
          <w:right w:w="0" w:type="dxa"/>
        </w:tblCellMar>
        <w:tblLook w:val="04A0" w:firstRow="1" w:lastRow="0" w:firstColumn="1" w:lastColumn="0" w:noHBand="0" w:noVBand="1"/>
      </w:tblPr>
      <w:tblGrid>
        <w:gridCol w:w="9360"/>
      </w:tblGrid>
      <w:tr w:rsidR="00302D86" w:rsidTr="00302D86">
        <w:tc>
          <w:tcPr>
            <w:tcW w:w="0" w:type="auto"/>
            <w:shd w:val="clear" w:color="auto" w:fill="FFFFFF"/>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vAlign w:val="center"/>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302D86">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9360"/>
                              </w:tblGrid>
                              <w:tr w:rsidR="00302D86">
                                <w:trPr>
                                  <w:jc w:val="center"/>
                                </w:trPr>
                                <w:tc>
                                  <w:tcPr>
                                    <w:tcW w:w="0" w:type="auto"/>
                                    <w:vAlign w:val="center"/>
                                    <w:hideMark/>
                                  </w:tcPr>
                                  <w:p w:rsidR="00302D86" w:rsidRDefault="00302D86">
                                    <w:pPr>
                                      <w:jc w:val="center"/>
                                    </w:pPr>
                                    <w:r>
                                      <w:rPr>
                                        <w:noProof/>
                                        <w:color w:val="145C9E"/>
                                        <w:bdr w:val="none" w:sz="0" w:space="0" w:color="auto" w:frame="1"/>
                                      </w:rPr>
                                      <w:drawing>
                                        <wp:inline distT="0" distB="0" distL="0" distR="0">
                                          <wp:extent cx="3810000" cy="1000125"/>
                                          <wp:effectExtent l="0" t="0" r="0" b="9525"/>
                                          <wp:docPr id="1" name="Picture 1" descr="http://images.news.chapman.com/EloquaImages/clients/ChapmanAndCutlerLLP/%7Bc27336e0-2363-4fe7-bca4-f36cf297b212%7D_Chapman_full_logo.png">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ages.news.chapman.com/EloquaImages/clients/ChapmanAndCutlerLLP/%7Bc27336e0-2363-4fe7-bca4-f36cf297b212%7D_Chapman_full_logo.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0" cy="1000125"/>
                                                  </a:xfrm>
                                                  <a:prstGeom prst="rect">
                                                    <a:avLst/>
                                                  </a:prstGeom>
                                                  <a:noFill/>
                                                  <a:ln>
                                                    <a:noFill/>
                                                  </a:ln>
                                                </pic:spPr>
                                              </pic:pic>
                                            </a:graphicData>
                                          </a:graphic>
                                        </wp:inline>
                                      </w:drawing>
                                    </w:r>
                                  </w:p>
                                </w:tc>
                              </w:tr>
                            </w:tbl>
                            <w:p w:rsidR="00302D86" w:rsidRDefault="00302D86">
                              <w:pPr>
                                <w:jc w:val="center"/>
                                <w:rPr>
                                  <w:rFonts w:eastAsia="Times New Roman"/>
                                  <w:sz w:val="20"/>
                                  <w:szCs w:val="20"/>
                                </w:rPr>
                              </w:pP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302D86" w:rsidRDefault="00302D86">
            <w:pPr>
              <w:rPr>
                <w:rFonts w:eastAsia="Times New Roman"/>
                <w:sz w:val="20"/>
                <w:szCs w:val="20"/>
              </w:rPr>
            </w:pPr>
          </w:p>
        </w:tc>
      </w:tr>
    </w:tbl>
    <w:p w:rsidR="00F92D75" w:rsidRDefault="00F92D75">
      <w:bookmarkStart w:id="0" w:name="_GoBack"/>
      <w:bookmarkEnd w:id="0"/>
    </w:p>
    <w:sectPr w:rsidR="00F92D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F83CE3"/>
    <w:multiLevelType w:val="multilevel"/>
    <w:tmpl w:val="3BCE96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D86"/>
    <w:rsid w:val="00302D86"/>
    <w:rsid w:val="00F9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98BC6-CAE1-4E65-8353-BDE23E72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D8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2D86"/>
    <w:rPr>
      <w:color w:val="145C9E"/>
      <w:u w:val="single"/>
      <w:bdr w:val="none" w:sz="0" w:space="0" w:color="auto" w:frame="1"/>
    </w:rPr>
  </w:style>
  <w:style w:type="character" w:styleId="Emphasis">
    <w:name w:val="Emphasis"/>
    <w:basedOn w:val="DefaultParagraphFont"/>
    <w:uiPriority w:val="20"/>
    <w:qFormat/>
    <w:rsid w:val="00302D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8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news.chapman.com/e/er?s=1609254285&amp;lid=157&amp;elqTrackId=0A64CB4C17B63717780FDF7382FA08E3&amp;elq=00133f1a992c49328ffe0f48e67bf42a&amp;elqaid=683&amp;elqat=1"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app.news.chapman.com/e/er?s=1609254285&amp;lid=170&amp;elqTrackId=128F1326E02FC802B9B051D7AA21140F&amp;elq=00133f1a992c49328ffe0f48e67bf42a&amp;elqaid=683&amp;elqat=1" TargetMode="External"/><Relationship Id="rId12" Type="http://schemas.openxmlformats.org/officeDocument/2006/relationships/hyperlink" Target="http://app.news.chapman.com/e/er?s=1609254285&amp;lid=16&amp;elqTrackId=E88036DD5CB754C78CB6D475DE692826&amp;elq=00133f1a992c49328ffe0f48e67bf42a&amp;elqaid=683&amp;elqa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news.chapman.com/e/er?s=1609254285&amp;lid=16&amp;elqTrackId=A2161B8275DAC3857522A13257A45F09&amp;elq=00133f1a992c49328ffe0f48e67bf42a&amp;elqaid=683&amp;elqat=1"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app.news.chapman.com/e/er?s=1609254285&amp;lid=11&amp;elqTrackId=576B82DB79079A5A394F4C9852CC7CA5&amp;elq=00133f1a992c49328ffe0f48e67bf42a&amp;elqaid=683&amp;elqat=1"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Selders</dc:creator>
  <cp:keywords/>
  <dc:description/>
  <cp:lastModifiedBy>Brian Selders</cp:lastModifiedBy>
  <cp:revision>1</cp:revision>
  <dcterms:created xsi:type="dcterms:W3CDTF">2020-06-17T19:57:00Z</dcterms:created>
  <dcterms:modified xsi:type="dcterms:W3CDTF">2020-06-17T19:57:00Z</dcterms:modified>
</cp:coreProperties>
</file>